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sz w:val="44"/>
          <w:szCs w:val="44"/>
        </w:rPr>
      </w:pPr>
      <w:r>
        <w:rPr>
          <w:rFonts w:hint="eastAsia" w:ascii="宋体" w:hAnsi="宋体" w:cs="宋体"/>
          <w:b/>
          <w:sz w:val="44"/>
          <w:szCs w:val="44"/>
        </w:rPr>
        <w:t>三明学院2019年知识产权</w:t>
      </w:r>
    </w:p>
    <w:p>
      <w:pPr>
        <w:jc w:val="center"/>
        <w:rPr>
          <w:rFonts w:ascii="宋体" w:cs="宋体"/>
          <w:b/>
          <w:sz w:val="44"/>
          <w:szCs w:val="44"/>
        </w:rPr>
      </w:pPr>
      <w:r>
        <w:rPr>
          <w:rFonts w:hint="eastAsia" w:ascii="宋体" w:hAnsi="宋体" w:cs="宋体"/>
          <w:b/>
          <w:sz w:val="44"/>
          <w:szCs w:val="44"/>
        </w:rPr>
        <w:t>远程教育培训情况说明</w:t>
      </w:r>
    </w:p>
    <w:p>
      <w:pPr>
        <w:jc w:val="center"/>
        <w:rPr>
          <w:rFonts w:ascii="宋体" w:cs="宋体"/>
          <w:sz w:val="44"/>
          <w:szCs w:val="44"/>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为深入实施知识产权战略，使学生了解知识产权相关知识，提高我校学生</w:t>
      </w:r>
      <w:bookmarkStart w:id="0" w:name="_GoBack"/>
      <w:bookmarkEnd w:id="0"/>
      <w:r>
        <w:rPr>
          <w:rFonts w:hint="eastAsia" w:ascii="仿宋" w:hAnsi="仿宋" w:eastAsia="仿宋" w:cs="仿宋"/>
          <w:sz w:val="30"/>
          <w:szCs w:val="30"/>
        </w:rPr>
        <w:t>运用知识产权制度维护自身权益的能力和水平，增强核心竞争力和自主创新力，校团委、教务处与继续教育学院合作，在</w:t>
      </w:r>
      <w:r>
        <w:rPr>
          <w:rFonts w:ascii="仿宋" w:hAnsi="仿宋" w:eastAsia="仿宋" w:cs="仿宋"/>
          <w:sz w:val="30"/>
          <w:szCs w:val="30"/>
        </w:rPr>
        <w:t>2018</w:t>
      </w:r>
      <w:r>
        <w:rPr>
          <w:rFonts w:hint="eastAsia" w:ascii="仿宋" w:hAnsi="仿宋" w:eastAsia="仿宋" w:cs="仿宋"/>
          <w:sz w:val="30"/>
          <w:szCs w:val="30"/>
        </w:rPr>
        <w:t>年开办第一期知识产权远程教育培训的基础上，拟于2019年4月20日至5月20日举办面向我校三、四年级学生的第二期知识产权远程教育培训。</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一、课程安排</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模块一：</w:t>
      </w:r>
    </w:p>
    <w:tbl>
      <w:tblPr>
        <w:tblStyle w:val="5"/>
        <w:tblW w:w="9073" w:type="dxa"/>
        <w:tblInd w:w="-34" w:type="dxa"/>
        <w:tblLayout w:type="fixed"/>
        <w:tblCellMar>
          <w:top w:w="0" w:type="dxa"/>
          <w:left w:w="108" w:type="dxa"/>
          <w:bottom w:w="0" w:type="dxa"/>
          <w:right w:w="108" w:type="dxa"/>
        </w:tblCellMar>
      </w:tblPr>
      <w:tblGrid>
        <w:gridCol w:w="1205"/>
        <w:gridCol w:w="879"/>
        <w:gridCol w:w="610"/>
        <w:gridCol w:w="850"/>
        <w:gridCol w:w="5529"/>
      </w:tblGrid>
      <w:tr>
        <w:tblPrEx>
          <w:tblLayout w:type="fixed"/>
          <w:tblCellMar>
            <w:top w:w="0" w:type="dxa"/>
            <w:left w:w="108" w:type="dxa"/>
            <w:bottom w:w="0" w:type="dxa"/>
            <w:right w:w="108" w:type="dxa"/>
          </w:tblCellMar>
        </w:tblPrEx>
        <w:trPr>
          <w:trHeight w:val="270" w:hRule="atLeast"/>
        </w:trPr>
        <w:tc>
          <w:tcPr>
            <w:tcW w:w="12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时长（分）</w:t>
            </w:r>
          </w:p>
        </w:tc>
        <w:tc>
          <w:tcPr>
            <w:tcW w:w="6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学时</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考试</w:t>
            </w:r>
          </w:p>
        </w:tc>
        <w:tc>
          <w:tcPr>
            <w:tcW w:w="552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课程简介</w:t>
            </w:r>
          </w:p>
        </w:tc>
      </w:tr>
      <w:tr>
        <w:tblPrEx>
          <w:tblLayout w:type="fixed"/>
          <w:tblCellMar>
            <w:top w:w="0" w:type="dxa"/>
            <w:left w:w="108" w:type="dxa"/>
            <w:bottom w:w="0" w:type="dxa"/>
            <w:right w:w="108" w:type="dxa"/>
          </w:tblCellMar>
        </w:tblPrEx>
        <w:trPr>
          <w:trHeight w:val="1515" w:hRule="atLeast"/>
        </w:trPr>
        <w:tc>
          <w:tcPr>
            <w:tcW w:w="120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国际专利申请（PCT）基础知识</w:t>
            </w:r>
          </w:p>
        </w:tc>
        <w:tc>
          <w:tcPr>
            <w:tcW w:w="87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280</w:t>
            </w:r>
          </w:p>
        </w:tc>
        <w:tc>
          <w:tcPr>
            <w:tcW w:w="6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结业考试</w:t>
            </w:r>
          </w:p>
        </w:tc>
        <w:tc>
          <w:tcPr>
            <w:tcW w:w="5529"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国际专利申请（PCT）基础知识介绍了专利合作条约的概述，SIPI作为受理局的职能，PCT神奇的国际检索程序，国际公布及国际局的职责，PCT申请的国际初步审查程序，PCT申请的其他程序，PCT申请的其他程序，PCT申请的费用，PCT-SAFE电子申请。</w:t>
            </w:r>
          </w:p>
        </w:tc>
      </w:tr>
      <w:tr>
        <w:tblPrEx>
          <w:tblLayout w:type="fixed"/>
          <w:tblCellMar>
            <w:top w:w="0" w:type="dxa"/>
            <w:left w:w="108" w:type="dxa"/>
            <w:bottom w:w="0" w:type="dxa"/>
            <w:right w:w="108" w:type="dxa"/>
          </w:tblCellMar>
        </w:tblPrEx>
        <w:trPr>
          <w:trHeight w:val="2265" w:hRule="atLeast"/>
        </w:trPr>
        <w:tc>
          <w:tcPr>
            <w:tcW w:w="120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 xml:space="preserve">网络环境下的知识产权保护 </w:t>
            </w:r>
          </w:p>
        </w:tc>
        <w:tc>
          <w:tcPr>
            <w:tcW w:w="87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6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结业考试</w:t>
            </w:r>
          </w:p>
        </w:tc>
        <w:tc>
          <w:tcPr>
            <w:tcW w:w="5529"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本课程通过大量的真实案件，讨论了网络环境下知识产权热点问题，力图使学习者能够了解信息时代知识产权的新发展，掌握网络中的知识产权保护措施，提高知识产权意识。课程阐述了网络的概念，并提出对网络行为进行规制的法律规范种类，进而分析了互联网的发展给知识产权制度带来的诸种冲击。介绍了网络环境下的著作权问题，还介绍了域名权益在网络环境下的法律保护制度，国外相关立法和实践，提出了我国立法应当注意的问题，最后重点介绍了网络环境下的电子证据问题。</w:t>
            </w:r>
          </w:p>
        </w:tc>
      </w:tr>
      <w:tr>
        <w:tblPrEx>
          <w:tblLayout w:type="fixed"/>
          <w:tblCellMar>
            <w:top w:w="0" w:type="dxa"/>
            <w:left w:w="108" w:type="dxa"/>
            <w:bottom w:w="0" w:type="dxa"/>
            <w:right w:w="108" w:type="dxa"/>
          </w:tblCellMar>
        </w:tblPrEx>
        <w:trPr>
          <w:trHeight w:val="1080" w:hRule="atLeast"/>
        </w:trPr>
        <w:tc>
          <w:tcPr>
            <w:tcW w:w="1205"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商标法</w:t>
            </w:r>
          </w:p>
        </w:tc>
        <w:tc>
          <w:tcPr>
            <w:tcW w:w="87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500</w:t>
            </w:r>
          </w:p>
        </w:tc>
        <w:tc>
          <w:tcPr>
            <w:tcW w:w="6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结业考试</w:t>
            </w:r>
          </w:p>
        </w:tc>
        <w:tc>
          <w:tcPr>
            <w:tcW w:w="5529"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商标法共有十章内容，讲述了标志、商标及商标法；商标的构成要素；商标注册条件；商标注册取得、变更与丧失；商标侵权认定；商标侵权抗辩；商标侵权救济；驰名商标保护；商标国际注册；商标国际公约与欧美商标法。</w:t>
            </w:r>
          </w:p>
        </w:tc>
      </w:tr>
    </w:tbl>
    <w:p>
      <w:pPr>
        <w:spacing w:line="500" w:lineRule="exact"/>
        <w:ind w:firstLine="600" w:firstLineChars="200"/>
        <w:rPr>
          <w:rFonts w:ascii="仿宋" w:hAnsi="仿宋" w:eastAsia="仿宋" w:cs="仿宋"/>
          <w:sz w:val="30"/>
          <w:szCs w:val="30"/>
        </w:rPr>
      </w:pPr>
    </w:p>
    <w:p>
      <w:pPr>
        <w:spacing w:line="500" w:lineRule="exact"/>
        <w:ind w:firstLine="600" w:firstLineChars="200"/>
        <w:rPr>
          <w:rFonts w:ascii="仿宋" w:hAnsi="仿宋" w:eastAsia="仿宋" w:cs="仿宋"/>
          <w:sz w:val="30"/>
          <w:szCs w:val="30"/>
        </w:rPr>
      </w:pPr>
      <w:r>
        <w:rPr>
          <w:rFonts w:hint="eastAsia" w:ascii="仿宋" w:hAnsi="仿宋" w:eastAsia="仿宋" w:cs="仿宋"/>
          <w:sz w:val="30"/>
          <w:szCs w:val="30"/>
        </w:rPr>
        <w:t>模块二：</w:t>
      </w:r>
    </w:p>
    <w:tbl>
      <w:tblPr>
        <w:tblStyle w:val="5"/>
        <w:tblW w:w="9074" w:type="dxa"/>
        <w:tblInd w:w="-34" w:type="dxa"/>
        <w:tblLayout w:type="fixed"/>
        <w:tblCellMar>
          <w:top w:w="0" w:type="dxa"/>
          <w:left w:w="108" w:type="dxa"/>
          <w:bottom w:w="0" w:type="dxa"/>
          <w:right w:w="108" w:type="dxa"/>
        </w:tblCellMar>
      </w:tblPr>
      <w:tblGrid>
        <w:gridCol w:w="1207"/>
        <w:gridCol w:w="879"/>
        <w:gridCol w:w="610"/>
        <w:gridCol w:w="850"/>
        <w:gridCol w:w="5528"/>
      </w:tblGrid>
      <w:tr>
        <w:tblPrEx>
          <w:tblLayout w:type="fixed"/>
          <w:tblCellMar>
            <w:top w:w="0" w:type="dxa"/>
            <w:left w:w="108" w:type="dxa"/>
            <w:bottom w:w="0" w:type="dxa"/>
            <w:right w:w="108" w:type="dxa"/>
          </w:tblCellMar>
        </w:tblPrEx>
        <w:trPr>
          <w:trHeight w:val="270" w:hRule="atLeast"/>
        </w:trPr>
        <w:tc>
          <w:tcPr>
            <w:tcW w:w="120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w:t>
            </w:r>
          </w:p>
        </w:tc>
        <w:tc>
          <w:tcPr>
            <w:tcW w:w="87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时长（分）</w:t>
            </w:r>
          </w:p>
        </w:tc>
        <w:tc>
          <w:tcPr>
            <w:tcW w:w="61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学时</w:t>
            </w:r>
          </w:p>
        </w:tc>
        <w:tc>
          <w:tcPr>
            <w:tcW w:w="8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考试</w:t>
            </w:r>
          </w:p>
        </w:tc>
        <w:tc>
          <w:tcPr>
            <w:tcW w:w="552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课程简介</w:t>
            </w:r>
          </w:p>
        </w:tc>
      </w:tr>
      <w:tr>
        <w:tblPrEx>
          <w:tblLayout w:type="fixed"/>
          <w:tblCellMar>
            <w:top w:w="0" w:type="dxa"/>
            <w:left w:w="108" w:type="dxa"/>
            <w:bottom w:w="0" w:type="dxa"/>
            <w:right w:w="108" w:type="dxa"/>
          </w:tblCellMar>
        </w:tblPrEx>
        <w:trPr>
          <w:trHeight w:val="1620" w:hRule="atLeast"/>
        </w:trPr>
        <w:tc>
          <w:tcPr>
            <w:tcW w:w="1207"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版权制度：为动漫产业发展护航</w:t>
            </w:r>
          </w:p>
        </w:tc>
        <w:tc>
          <w:tcPr>
            <w:tcW w:w="87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6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结业考试</w:t>
            </w:r>
          </w:p>
        </w:tc>
        <w:tc>
          <w:tcPr>
            <w:tcW w:w="552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本课程的主要目的是让学者了解法律基本原理，掌握经济与法律之间的互动关系；学习国内政府部门扶持产业发展所制定的相关政策；了解国际动漫产业发展形势与趋势；重新以法律视角来定义行业中的相关概念；将行业概念与版权法律体系中的法律概念相互对应起来；借助一些案例、实例，分析动漫产业中各环节之间关系的背后所蕴含的法律关系。</w:t>
            </w:r>
          </w:p>
        </w:tc>
      </w:tr>
      <w:tr>
        <w:tblPrEx>
          <w:tblLayout w:type="fixed"/>
          <w:tblCellMar>
            <w:top w:w="0" w:type="dxa"/>
            <w:left w:w="108" w:type="dxa"/>
            <w:bottom w:w="0" w:type="dxa"/>
            <w:right w:w="108" w:type="dxa"/>
          </w:tblCellMar>
        </w:tblPrEx>
        <w:trPr>
          <w:trHeight w:val="2700" w:hRule="atLeast"/>
        </w:trPr>
        <w:tc>
          <w:tcPr>
            <w:tcW w:w="1207" w:type="dxa"/>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知识产权的国际保护（08版）</w:t>
            </w:r>
          </w:p>
        </w:tc>
        <w:tc>
          <w:tcPr>
            <w:tcW w:w="879"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600</w:t>
            </w:r>
          </w:p>
        </w:tc>
        <w:tc>
          <w:tcPr>
            <w:tcW w:w="61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850"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宋体" w:hAnsi="宋体" w:cs="宋体"/>
                <w:color w:val="000000"/>
                <w:kern w:val="0"/>
                <w:sz w:val="22"/>
                <w:szCs w:val="22"/>
              </w:rPr>
            </w:pPr>
            <w:r>
              <w:rPr>
                <w:rFonts w:hint="eastAsia" w:ascii="宋体" w:hAnsi="宋体" w:cs="宋体"/>
                <w:color w:val="000000"/>
                <w:kern w:val="0"/>
                <w:sz w:val="22"/>
                <w:szCs w:val="22"/>
              </w:rPr>
              <w:t>结业考试</w:t>
            </w:r>
          </w:p>
        </w:tc>
        <w:tc>
          <w:tcPr>
            <w:tcW w:w="5528"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宋体" w:hAnsi="宋体" w:cs="宋体"/>
                <w:color w:val="000000"/>
                <w:kern w:val="0"/>
                <w:sz w:val="22"/>
                <w:szCs w:val="22"/>
              </w:rPr>
            </w:pPr>
            <w:r>
              <w:rPr>
                <w:rFonts w:hint="eastAsia" w:ascii="宋体" w:hAnsi="宋体" w:cs="宋体"/>
                <w:color w:val="000000"/>
                <w:kern w:val="0"/>
                <w:sz w:val="22"/>
                <w:szCs w:val="22"/>
              </w:rPr>
              <w:t>“知识产权的国际保护”是知识产权法律制度的重要功能，也是促使知识产权法律制度在全球范围内建立并逐步趋于一致的重要原因。从一定意义上说，包括中国在内的许多国家的知识产权法律制度就是在知识产权国际保护活动的推动与压力之下建立起来的。因此，要想真正理解知识产权保护的原则与规则，从而在实际生活中正确运用它们来保护自己的利益，并最大限度地避免与他人的利益发生冲突，对知识产权国际保护方面的知识有基本的了解与把握就成了必不可少的步骤。本课程开设的目地就是引导学员深入浅出地认识、理解和逐步把握知识产权国际保护的一些制度、原则及规则，以及知识产权国际保护与国内保护之间的关系。</w:t>
            </w:r>
          </w:p>
        </w:tc>
      </w:tr>
    </w:tbl>
    <w:p>
      <w:pPr>
        <w:spacing w:line="500" w:lineRule="exact"/>
        <w:rPr>
          <w:rFonts w:ascii="仿宋" w:hAnsi="仿宋" w:eastAsia="仿宋" w:cs="仿宋"/>
          <w:sz w:val="30"/>
          <w:szCs w:val="30"/>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二、培训流程</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学生根据自己的需要选择相应的模块向各学院报名，各学院将学生的信息（包括学生专业、年级、姓名、身份证号、常用邮箱、手机号、所选课程）汇总后报到继续教育学院；</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继续教育学院根据报名情况，按年级和专业进行班级编排、日常学习管理和成绩统计；</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学生在规定时间内通过网络学习，达到要求的26学时（模块一）或24学时（模块二），并顺利通过各科的考试，省知识产权远程教育平台将对其学习活动进行认证、开具相关证明。二级学院可将此学习活动认定为参加第二课堂活动，并计相应的学分。（具体情况由各院具体确定）。</w:t>
      </w: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学生完成相应班级的学习后，可自行申请由中国知识产权培训中心（国家级继续教育基地）颁发的学时证书。（50元/份）</w:t>
      </w:r>
    </w:p>
    <w:p>
      <w:pPr>
        <w:spacing w:line="600" w:lineRule="exact"/>
        <w:ind w:firstLine="600" w:firstLineChars="200"/>
        <w:jc w:val="right"/>
        <w:rPr>
          <w:rFonts w:ascii="仿宋" w:hAnsi="仿宋" w:eastAsia="仿宋" w:cs="仿宋"/>
          <w:sz w:val="30"/>
          <w:szCs w:val="30"/>
        </w:rPr>
      </w:pPr>
    </w:p>
    <w:p>
      <w:pPr>
        <w:spacing w:line="600" w:lineRule="exact"/>
        <w:ind w:firstLine="600" w:firstLineChars="200"/>
        <w:rPr>
          <w:rFonts w:ascii="仿宋" w:hAnsi="仿宋" w:eastAsia="仿宋" w:cs="仿宋"/>
          <w:sz w:val="30"/>
          <w:szCs w:val="30"/>
        </w:rPr>
      </w:pPr>
    </w:p>
    <w:p>
      <w:pPr>
        <w:spacing w:line="600" w:lineRule="exact"/>
        <w:ind w:firstLine="600" w:firstLineChars="200"/>
        <w:rPr>
          <w:rFonts w:ascii="仿宋" w:hAnsi="仿宋" w:eastAsia="仿宋" w:cs="仿宋"/>
          <w:sz w:val="30"/>
          <w:szCs w:val="30"/>
        </w:rPr>
      </w:pPr>
      <w:r>
        <w:rPr>
          <w:rFonts w:hint="eastAsia" w:ascii="仿宋" w:hAnsi="仿宋" w:eastAsia="仿宋" w:cs="仿宋"/>
          <w:sz w:val="30"/>
          <w:szCs w:val="30"/>
        </w:rPr>
        <w:t>联</w:t>
      </w:r>
      <w:r>
        <w:rPr>
          <w:rFonts w:ascii="仿宋" w:hAnsi="仿宋" w:eastAsia="仿宋" w:cs="仿宋"/>
          <w:sz w:val="30"/>
          <w:szCs w:val="30"/>
        </w:rPr>
        <w:t xml:space="preserve"> </w:t>
      </w:r>
      <w:r>
        <w:rPr>
          <w:rFonts w:hint="eastAsia" w:ascii="仿宋" w:hAnsi="仿宋" w:eastAsia="仿宋" w:cs="仿宋"/>
          <w:sz w:val="30"/>
          <w:szCs w:val="30"/>
        </w:rPr>
        <w:t>系</w:t>
      </w:r>
      <w:r>
        <w:rPr>
          <w:rFonts w:ascii="仿宋" w:hAnsi="仿宋" w:eastAsia="仿宋" w:cs="仿宋"/>
          <w:sz w:val="30"/>
          <w:szCs w:val="30"/>
        </w:rPr>
        <w:t xml:space="preserve"> </w:t>
      </w:r>
      <w:r>
        <w:rPr>
          <w:rFonts w:hint="eastAsia" w:ascii="仿宋" w:hAnsi="仿宋" w:eastAsia="仿宋" w:cs="仿宋"/>
          <w:sz w:val="30"/>
          <w:szCs w:val="30"/>
        </w:rPr>
        <w:t>人：周斌</w:t>
      </w: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联系电话：</w:t>
      </w:r>
      <w:r>
        <w:rPr>
          <w:rFonts w:ascii="仿宋" w:hAnsi="仿宋" w:eastAsia="仿宋" w:cs="仿宋"/>
          <w:sz w:val="30"/>
          <w:szCs w:val="30"/>
        </w:rPr>
        <w:t>13950986633</w:t>
      </w:r>
      <w:r>
        <w:rPr>
          <w:rFonts w:hint="eastAsia" w:ascii="仿宋" w:hAnsi="仿宋" w:eastAsia="仿宋" w:cs="仿宋"/>
          <w:sz w:val="30"/>
          <w:szCs w:val="30"/>
        </w:rPr>
        <w:t>（短号：</w:t>
      </w:r>
      <w:r>
        <w:rPr>
          <w:rFonts w:ascii="仿宋" w:hAnsi="仿宋" w:eastAsia="仿宋" w:cs="仿宋"/>
          <w:sz w:val="30"/>
          <w:szCs w:val="30"/>
        </w:rPr>
        <w:t>66633</w:t>
      </w:r>
      <w:r>
        <w:rPr>
          <w:rFonts w:hint="eastAsia" w:ascii="仿宋" w:hAnsi="仿宋" w:eastAsia="仿宋" w:cs="仿宋"/>
          <w:sz w:val="30"/>
          <w:szCs w:val="30"/>
        </w:rPr>
        <w:t>）</w:t>
      </w:r>
    </w:p>
    <w:p>
      <w:pPr>
        <w:spacing w:line="600" w:lineRule="exact"/>
        <w:ind w:firstLine="600" w:firstLineChars="200"/>
        <w:rPr>
          <w:rFonts w:hint="eastAsia" w:ascii="仿宋" w:hAnsi="仿宋" w:eastAsia="仿宋" w:cs="仿宋"/>
          <w:sz w:val="30"/>
          <w:szCs w:val="30"/>
        </w:rPr>
      </w:pPr>
    </w:p>
    <w:p>
      <w:pPr>
        <w:spacing w:line="60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附：</w:t>
      </w:r>
    </w:p>
    <w:tbl>
      <w:tblPr>
        <w:tblStyle w:val="5"/>
        <w:tblW w:w="8946" w:type="dxa"/>
        <w:tblInd w:w="93" w:type="dxa"/>
        <w:tblLayout w:type="fixed"/>
        <w:tblCellMar>
          <w:top w:w="0" w:type="dxa"/>
          <w:left w:w="108" w:type="dxa"/>
          <w:bottom w:w="0" w:type="dxa"/>
          <w:right w:w="108" w:type="dxa"/>
        </w:tblCellMar>
      </w:tblPr>
      <w:tblGrid>
        <w:gridCol w:w="582"/>
        <w:gridCol w:w="709"/>
        <w:gridCol w:w="709"/>
        <w:gridCol w:w="992"/>
        <w:gridCol w:w="1418"/>
        <w:gridCol w:w="1701"/>
        <w:gridCol w:w="1417"/>
        <w:gridCol w:w="709"/>
        <w:gridCol w:w="709"/>
      </w:tblGrid>
      <w:tr>
        <w:tblPrEx>
          <w:tblLayout w:type="fixed"/>
          <w:tblCellMar>
            <w:top w:w="0" w:type="dxa"/>
            <w:left w:w="108" w:type="dxa"/>
            <w:bottom w:w="0" w:type="dxa"/>
            <w:right w:w="108" w:type="dxa"/>
          </w:tblCellMar>
        </w:tblPrEx>
        <w:trPr>
          <w:trHeight w:val="522" w:hRule="atLeast"/>
        </w:trPr>
        <w:tc>
          <w:tcPr>
            <w:tcW w:w="8946" w:type="dxa"/>
            <w:gridSpan w:val="9"/>
            <w:tcBorders>
              <w:top w:val="nil"/>
              <w:left w:val="nil"/>
              <w:bottom w:val="nil"/>
              <w:right w:val="nil"/>
            </w:tcBorders>
            <w:shd w:val="clear" w:color="auto" w:fill="auto"/>
            <w:noWrap/>
            <w:vAlign w:val="center"/>
          </w:tcPr>
          <w:p>
            <w:pPr>
              <w:widowControl/>
              <w:jc w:val="center"/>
              <w:rPr>
                <w:rFonts w:ascii="宋体" w:hAnsi="宋体" w:cs="宋体"/>
                <w:color w:val="000000"/>
                <w:kern w:val="0"/>
                <w:sz w:val="32"/>
                <w:szCs w:val="32"/>
              </w:rPr>
            </w:pPr>
            <w:r>
              <w:rPr>
                <w:rFonts w:hint="eastAsia" w:ascii="宋体" w:hAnsi="宋体" w:cs="宋体"/>
                <w:color w:val="000000"/>
                <w:kern w:val="0"/>
                <w:sz w:val="32"/>
                <w:szCs w:val="32"/>
              </w:rPr>
              <w:t>三明学院第二期知识产权远程教育培训</w:t>
            </w:r>
          </w:p>
        </w:tc>
      </w:tr>
      <w:tr>
        <w:tblPrEx>
          <w:tblLayout w:type="fixed"/>
          <w:tblCellMar>
            <w:top w:w="0" w:type="dxa"/>
            <w:left w:w="108" w:type="dxa"/>
            <w:bottom w:w="0" w:type="dxa"/>
            <w:right w:w="108" w:type="dxa"/>
          </w:tblCellMar>
        </w:tblPrEx>
        <w:trPr>
          <w:trHeight w:val="522"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序号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专业</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年级</w:t>
            </w:r>
          </w:p>
        </w:tc>
        <w:tc>
          <w:tcPr>
            <w:tcW w:w="992"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姓名</w:t>
            </w:r>
          </w:p>
        </w:tc>
        <w:tc>
          <w:tcPr>
            <w:tcW w:w="141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身份证号</w:t>
            </w: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常用邮箱</w:t>
            </w: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手机号</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所选模块</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 w:hAnsi="仿宋" w:eastAsia="仿宋" w:cs="宋体"/>
                <w:color w:val="000000"/>
                <w:kern w:val="0"/>
              </w:rPr>
            </w:pPr>
            <w:r>
              <w:rPr>
                <w:rFonts w:hint="eastAsia" w:ascii="仿宋" w:hAnsi="仿宋" w:eastAsia="仿宋" w:cs="宋体"/>
                <w:color w:val="000000"/>
                <w:kern w:val="0"/>
              </w:rPr>
              <w:t>备注</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Layout w:type="fixed"/>
          <w:tblCellMar>
            <w:top w:w="0" w:type="dxa"/>
            <w:left w:w="108" w:type="dxa"/>
            <w:bottom w:w="0" w:type="dxa"/>
            <w:right w:w="108" w:type="dxa"/>
          </w:tblCellMar>
        </w:tblPrEx>
        <w:trPr>
          <w:trHeight w:val="522"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99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70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141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09"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bl>
    <w:p>
      <w:pPr>
        <w:spacing w:line="600" w:lineRule="exact"/>
        <w:ind w:firstLine="600" w:firstLineChars="200"/>
        <w:rPr>
          <w:rFonts w:ascii="仿宋" w:hAnsi="仿宋" w:eastAsia="仿宋" w:cs="仿宋"/>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6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6CD"/>
    <w:rsid w:val="00000396"/>
    <w:rsid w:val="000037ED"/>
    <w:rsid w:val="00013DF5"/>
    <w:rsid w:val="00064B58"/>
    <w:rsid w:val="0008166C"/>
    <w:rsid w:val="000E3F7A"/>
    <w:rsid w:val="001874D2"/>
    <w:rsid w:val="001A37FA"/>
    <w:rsid w:val="002817C5"/>
    <w:rsid w:val="00345C56"/>
    <w:rsid w:val="00355216"/>
    <w:rsid w:val="00397B26"/>
    <w:rsid w:val="003B3759"/>
    <w:rsid w:val="003C53C4"/>
    <w:rsid w:val="00405ACE"/>
    <w:rsid w:val="00412E73"/>
    <w:rsid w:val="00420787"/>
    <w:rsid w:val="0045166A"/>
    <w:rsid w:val="004634B0"/>
    <w:rsid w:val="004D5A3F"/>
    <w:rsid w:val="004E40AF"/>
    <w:rsid w:val="005670D7"/>
    <w:rsid w:val="006216CD"/>
    <w:rsid w:val="00720F45"/>
    <w:rsid w:val="007E5874"/>
    <w:rsid w:val="007F73FC"/>
    <w:rsid w:val="00881CBF"/>
    <w:rsid w:val="009D2041"/>
    <w:rsid w:val="00A04C1E"/>
    <w:rsid w:val="00A33621"/>
    <w:rsid w:val="00AB1B15"/>
    <w:rsid w:val="00AF292A"/>
    <w:rsid w:val="00B01192"/>
    <w:rsid w:val="00B54557"/>
    <w:rsid w:val="00B6716E"/>
    <w:rsid w:val="00BD01BB"/>
    <w:rsid w:val="00BD4B86"/>
    <w:rsid w:val="00C67258"/>
    <w:rsid w:val="00C71EA8"/>
    <w:rsid w:val="00CB5D2A"/>
    <w:rsid w:val="00CC0573"/>
    <w:rsid w:val="00CD3B52"/>
    <w:rsid w:val="00D71A6A"/>
    <w:rsid w:val="00D91021"/>
    <w:rsid w:val="00EF5449"/>
    <w:rsid w:val="00F1055F"/>
    <w:rsid w:val="00F91C44"/>
    <w:rsid w:val="00FA33D8"/>
    <w:rsid w:val="00FA5BEC"/>
    <w:rsid w:val="00FC1007"/>
    <w:rsid w:val="00FC4FA8"/>
    <w:rsid w:val="00FD191C"/>
    <w:rsid w:val="09995200"/>
    <w:rsid w:val="7688368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8"/>
    <w:semiHidden/>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8">
    <w:name w:val="批注框文本 Char"/>
    <w:basedOn w:val="7"/>
    <w:link w:val="2"/>
    <w:semiHidden/>
    <w:qFormat/>
    <w:locked/>
    <w:uiPriority w:val="99"/>
    <w:rPr>
      <w:sz w:val="18"/>
      <w:szCs w:val="18"/>
    </w:rPr>
  </w:style>
  <w:style w:type="character" w:customStyle="1" w:styleId="9">
    <w:name w:val="页脚 Char"/>
    <w:basedOn w:val="7"/>
    <w:link w:val="3"/>
    <w:qFormat/>
    <w:locked/>
    <w:uiPriority w:val="99"/>
    <w:rPr>
      <w:sz w:val="18"/>
      <w:szCs w:val="18"/>
    </w:rPr>
  </w:style>
  <w:style w:type="character" w:customStyle="1" w:styleId="10">
    <w:name w:val="页眉 Char"/>
    <w:basedOn w:val="7"/>
    <w:link w:val="4"/>
    <w:locked/>
    <w:uiPriority w:val="99"/>
    <w:rPr>
      <w:sz w:val="18"/>
      <w:szCs w:val="18"/>
    </w:rPr>
  </w:style>
  <w:style w:type="paragraph"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sm</Company>
  <Pages>3</Pages>
  <Words>270</Words>
  <Characters>1540</Characters>
  <Lines>12</Lines>
  <Paragraphs>3</Paragraphs>
  <TotalTime>27</TotalTime>
  <ScaleCrop>false</ScaleCrop>
  <LinksUpToDate>false</LinksUpToDate>
  <CharactersWithSpaces>1807</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2019-04-16T08:05:00Z</dcterms:created>
  <dc:creator>zb</dc:creator>
  <cp:lastModifiedBy>chm1420536892</cp:lastModifiedBy>
  <cp:lastPrinted>2019-04-04T07:51:00Z</cp:lastPrinted>
  <dcterms:modified xsi:type="dcterms:W3CDTF">2019-04-19T01:08:58Z</dcterms:modified>
  <dc:title>三明学院知识产权培训情况说明</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